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3A87AA00" w14:textId="A34E0C00">
      <w:pPr>
        <w:pStyle w:val="Heading2"/>
      </w:pPr>
      <w:bookmarkStart w:id="900027" w:name="_Toc1102017531"/>
      <w:r>
        <w:t xml:space="preserve">5.2 Table with Merged Cells</w:t>
      </w:r>
      <w:bookmarkEnd w:id="900027"/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9360"/>
            <w:gridSpan w:val="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6CB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EE9EEE00" w14:textId="8C4362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Merged Header — 3 Columns</w:t>
            </w:r>
          </w:p>
        </w:tc>
      </w:tr>
      <w:tr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F090A00" w14:textId="39D4C200">
            <w:r>
              <w:rPr>
                <w:b/>
                <w:bCs/>
              </w:rPr>
              <w:t xml:space="preserve">Category</w:t>
            </w:r>
          </w:p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719F800" w14:textId="B0105C00">
            <w:r>
              <w:rPr>
                <w:b/>
                <w:bCs/>
              </w:rPr>
              <w:t xml:space="preserve">Q1</w:t>
            </w:r>
          </w:p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F56DCD00" w14:textId="98CE6000">
            <w:r>
              <w:rPr>
                <w:b/>
                <w:bCs/>
              </w:rPr>
              <w:t xml:space="preserve">Q2</w:t>
            </w:r>
          </w:p>
        </w:tc>
      </w:tr>
      <w:tr>
        <w:tc>
          <w:tcPr>
            <w:tcW w:type="dxa" w:w="3120"/>
            <w:vMerge w:val="restart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 w14:paraId="EFC2DB00" w14:textId="B752CE00">
            <w:r>
              <w:rPr>
                <w:b/>
                <w:bCs/>
              </w:rPr>
              <w:t xml:space="preserve">Revenue (row span)</w:t>
            </w:r>
          </w:p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EC1E3C00" w14:textId="CDC21F00">
            <w:r>
              <w:t xml:space="preserve">$1.2M</w:t>
            </w:r>
          </w:p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095A4C0" w14:textId="61B16C00">
            <w:r>
              <w:t xml:space="preserve">$1.5M</w:t>
            </w:r>
          </w:p>
        </w:tc>
      </w:tr>
      <w:tr>
        <w:tc>
          <w:tcPr>
            <w:vMerge w:val="continue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 w14:paraId="C1ADE400" w14:textId="C7346900"/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9D10E200" w14:textId="B9755000">
            <w:r>
              <w:t xml:space="preserve">+12%</w:t>
            </w:r>
          </w:p>
        </w:tc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02B63300" w14:textId="C108FA00">
            <w:r>
              <w:t xml:space="preserve">+25%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