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PartName="/word/endnotes.xml" ContentType="application/vnd.openxmlformats-officedocument.wordprocessingml.end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 w14:paraId="5FF20000" w14:textId="5FAB82C0">
      <w:pPr>
        <w:pStyle w:val="Heading1"/>
      </w:pPr>
      <w:bookmarkStart w:id="900055" w:name="_Toc602910037"/>
      <w:bookmarkStart w:name="section16" w:id="25"/>
      <w:r>
        <w:t xml:space="preserve">16. Floating Table</w:t>
      </w:r>
      <w:bookmarkEnd w:id="25"/>
      <w:bookmarkEnd w:id="900055"/>
    </w:p>
    <w:p w14:paraId="86154100" w14:textId="910F8C00">
      <w:pPr>
        <w:spacing w:after="120"/>
      </w:pPr>
      <w:r>
        <w:t xml:space="preserve">Below is a floating table positioned relative to the margin. Floating tables can be positioned independently of the text flow, which is useful for sidebar data, quick-reference cards, and callout tables.</w:t>
      </w:r>
    </w:p>
    <w:tbl>
      <w:tblPr>
        <w:tblpPr w:tblpY="200" w:horzAnchor="margin" w:tblpXSpec="center" w:vertAnchor="text"/>
        <w:tblOverlap w:val="never"/>
        <w:tblW w:type="dxa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2500"/>
      </w:tblGrid>
      <w:tr>
        <w:tc>
          <w:tcPr>
            <w:tcW w:type="dxa" w:w="25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2B6CB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 w14:paraId="E2DAAB00" w14:textId="7CBA5A00">
            <w:pPr>
              <w:jc w:val="center"/>
            </w:pPr>
            <w:r>
              <w:rPr>
                <w:b/>
                <w:bCs/>
                <w:color w:val="FFFFFF"/>
              </w:rPr>
              <w:t xml:space="preserve">Metric</w:t>
            </w:r>
          </w:p>
        </w:tc>
        <w:tc>
          <w:tcPr>
            <w:tcW w:type="dxa" w:w="25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2B6CB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 w14:paraId="4E1BC000" w14:textId="07A2F800">
            <w:pPr>
              <w:jc w:val="center"/>
            </w:pPr>
            <w:r>
              <w:rPr>
                <w:b/>
                <w:bCs/>
                <w:color w:val="FFFFFF"/>
              </w:rPr>
              <w:t xml:space="preserve">Value</w:t>
            </w:r>
          </w:p>
        </w:tc>
      </w:tr>
      <w:tr>
        <w:tc>
          <w:tcPr>
            <w:tcW w:type="dxa" w:w="25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5F8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 w14:paraId="3BD9F900" w14:textId="F77B9800">
            <w:pPr>
              <w:jc w:val="center"/>
            </w:pPr>
            <w:r>
              <w:t xml:space="preserve">Uptime</w:t>
            </w:r>
          </w:p>
        </w:tc>
        <w:tc>
          <w:tcPr>
            <w:tcW w:type="dxa" w:w="25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5F8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 w14:paraId="08280200" w14:textId="1DED3480">
            <w:pPr>
              <w:jc w:val="center"/>
            </w:pPr>
            <w:r>
              <w:t xml:space="preserve">99.97%</w:t>
            </w:r>
          </w:p>
        </w:tc>
      </w:tr>
      <w:tr>
        <w:tc>
          <w:tcPr>
            <w:tcW w:type="dxa" w:w="25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 w14:paraId="3E588800" w14:textId="0367A400">
            <w:pPr>
              <w:jc w:val="center"/>
            </w:pPr>
            <w:r>
              <w:t xml:space="preserve">Latency</w:t>
            </w:r>
          </w:p>
        </w:tc>
        <w:tc>
          <w:tcPr>
            <w:tcW w:type="dxa" w:w="25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 w14:paraId="7A97A200" w14:textId="F244CA00">
            <w:pPr>
              <w:jc w:val="center"/>
            </w:pPr>
            <w:r>
              <w:t xml:space="preserve">42ms</w:t>
            </w:r>
          </w:p>
        </w:tc>
      </w:tr>
      <w:tr>
        <w:tc>
          <w:tcPr>
            <w:tcW w:type="dxa" w:w="25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5F8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 w14:paraId="FCCCB000" w14:textId="35F01A00">
            <w:pPr>
              <w:jc w:val="center"/>
            </w:pPr>
            <w:r>
              <w:t xml:space="preserve">Error Rate</w:t>
            </w:r>
          </w:p>
        </w:tc>
        <w:tc>
          <w:tcPr>
            <w:tcW w:type="dxa" w:w="25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5F8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 w14:paraId="6153FD00" w14:textId="3691BC00">
            <w:pPr>
              <w:jc w:val="center"/>
            </w:pPr>
            <w:r>
              <w:t xml:space="preserve">0.03%</w:t>
            </w:r>
          </w:p>
        </w:tc>
      </w:tr>
    </w:tbl>
    <w:sectPr>
      <w:pgSz w:w="12240" w:h="15840"/>
      <w:pgMar w:top="1440" w:right="1440" w:bottom="1440" w:left="144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mc:Ignorable="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▪"/>
      <w:lvlJc w:val="left"/>
      <w:pPr>
        <w:ind w:left="2160" w:hanging="360"/>
      </w:pPr>
    </w:lvl>
    <w:lvl w:ilvl="3" w15:tentative="1">
      <w:start w:val="1"/>
      <w:numFmt w:val="bullet"/>
      <w:lvlText w:val="–"/>
      <w:lvlJc w:val="left"/>
      <w:pPr>
        <w:ind w:left="288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  <w:lvl w:ilvl="1" w15:tentative="1">
      <w:start w:val="1"/>
      <w:numFmt w:val="lowerLetter"/>
      <w:lvlText w:val="%2)"/>
      <w:lvlJc w:val="left"/>
      <w:pPr>
        <w:ind w:left="1440" w:hanging="360"/>
      </w:pPr>
    </w:lvl>
    <w:lvl w:ilvl="2" w15:tentative="1">
      <w:start w:val="1"/>
      <w:numFmt w:val="lowerRoman"/>
      <w:lvlText w:val="%3."/>
      <w:lvlJc w:val="left"/>
      <w:pPr>
        <w:ind w:left="2160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upperRoman"/>
      <w:lvlText w:val="%1."/>
      <w:lvlJc w:val="left"/>
      <w:pPr>
        <w:ind w:left="720" w:hanging="360"/>
      </w:pPr>
    </w:lvl>
  </w:abstractNum>
  <w:abstractNum w:abstractNumId="6" w15:restartNumberingAfterBreak="0">
    <w:multiLevelType w:val="hybridMultilevel"/>
    <w:lvl w:ilvl="0" w15:tentative="1">
      <w:start w:val="1"/>
      <w:numFmt w:val="upperLetter"/>
      <w:lvlText w:val="%1."/>
      <w:lvlJc w:val="left"/>
      <w:pPr>
        <w:ind w:left="720" w:hanging="36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8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  <w:num w:numId="7">
    <w:abstractNumId w:val="7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6">
    <w:name w:val="Heading 6"/>
    <w:basedOn w:val="Normal"/>
    <w:next w:val="Normal"/>
    <w:qFormat/>
    <w:rPr>
      <w:color w:val="234E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200"/>
      <w:outlineLvl w:val="0"/>
    </w:pPr>
    <w:rPr>
      <w:rFonts w:ascii="Arial" w:cs="Arial" w:eastAsia="Arial" w:hAnsi="Arial"/>
      <w:b/>
      <w:bCs/>
      <w:color w:val="1A3550"/>
      <w:sz w:val="36"/>
      <w:szCs w:val="36"/>
    </w:rPr>
  </w:style>
  <w:style w:type="paragraph" w:styleId="Heading2">
    <w:name w:val="Heading 2"/>
    <w:basedOn w:val="Normal"/>
    <w:next w:val="Normal"/>
    <w:qFormat/>
    <w:pPr>
      <w:spacing w:before="280" w:after="160"/>
      <w:outlineLvl w:val="1"/>
    </w:pPr>
    <w:rPr>
      <w:rFonts w:ascii="Arial" w:cs="Arial" w:eastAsia="Arial" w:hAnsi="Arial"/>
      <w:b/>
      <w:bCs/>
      <w:color w:val="2B6CB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200" w:after="120"/>
      <w:outlineLvl w:val="2"/>
    </w:pPr>
    <w:rPr>
      <w:rFonts w:ascii="Arial" w:cs="Arial" w:eastAsia="Arial" w:hAnsi="Arial"/>
      <w:b/>
      <w:bCs/>
      <w:color w:val="4E96D6"/>
      <w:sz w:val="26"/>
      <w:szCs w:val="26"/>
    </w:rPr>
  </w:style>
  <w:style w:type="paragraph" w:styleId="Heading4">
    <w:name w:val="Heading 4"/>
    <w:basedOn w:val="Normal"/>
    <w:next w:val="Normal"/>
    <w:qFormat/>
    <w:pPr>
      <w:spacing w:before="160" w:after="100"/>
      <w:outlineLvl w:val="3"/>
    </w:pPr>
    <w:rPr>
      <w:rFonts w:ascii="Arial" w:cs="Arial" w:eastAsia="Arial" w:hAnsi="Arial"/>
      <w:b/>
      <w:bCs/>
      <w:i/>
      <w:iCs/>
      <w:color w:val="666666"/>
      <w:sz w:val="24"/>
      <w:szCs w:val="24"/>
    </w:rPr>
  </w:style>
  <w:style w:type="paragraph" w:styleId="Heading5">
    <w:name w:val="Heading 5"/>
    <w:basedOn w:val="Normal"/>
    <w:next w:val="Normal"/>
    <w:qFormat/>
    <w:pPr>
      <w:spacing w:before="120" w:after="80"/>
      <w:outlineLvl w:val="4"/>
    </w:pPr>
    <w:rPr>
      <w:rFonts w:ascii="Arial" w:cs="Arial" w:eastAsia="Arial" w:hAnsi="Arial"/>
      <w:b/>
      <w:bCs/>
      <w:color w:val="888888"/>
      <w:sz w:val="22"/>
      <w:szCs w:val="22"/>
    </w:rPr>
  </w:style>
  <w:style w:type="character" w:styleId="EndnoteReference">
    <w:name w:val="endnote reference"/>
    <w:basedOn w:val="DefaultParagraphFont"/>
    <w:semiHidden/>
    <w:unhideWhenUsed/>
    <w:rPr>
      <w:vertAlign w:val="superscript"/>
    </w:rPr>
  </w:style>
  <w:style w:type="paragraph" w:styleId="EndnoteText">
    <w:name w:val="endnote text"/>
    <w:basedOn w:val="Normal"/>
    <w:semiHidden/>
    <w:unhideWhenUsed/>
    <w:pPr>
      <w:spacing w:after="0" w:line="240" w:lineRule="auto"/>
    </w:pPr>
    <w:rPr>
      <w:sz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puozvwbows622nbfcq69x" Type="http://schemas.openxmlformats.org/officeDocument/2006/relationships/hyperlink" Target="https://example.com/" TargetMode="External"/><Relationship Id="rIdy06kg9jwrmgpnhtqcjjyi" Type="http://schemas.openxmlformats.org/officeDocument/2006/relationships/hyperlink" Target="https://example.com/" TargetMode="External"/><Relationship Id="rId14" Type="http://schemas.openxmlformats.org/officeDocument/2006/relationships/image" Target="media/c349518a3fed0d95eefd5ec6a276a64b7a78137d.png"/><Relationship Id="rId15" Type="http://schemas.openxmlformats.org/officeDocument/2006/relationships/image" Target="media/c190ba3b50f8d4b65c44c637141f739b1a813f16.png"/><Relationship Id="rId16" Type="http://schemas.openxmlformats.org/officeDocument/2006/relationships/image" Target="media/0e68bdcbebc9af66b579cf4db57c62db065a92dd.png"/><Relationship Id="rId17" Type="http://schemas.openxmlformats.org/officeDocument/2006/relationships/image" Target="media/b92eeecdc514541607fa84d11f684380a1736096.png"/><Relationship Id="rId20" Type="http://schemas.openxmlformats.org/officeDocument/2006/relationships/fontTable" Target="fontTable.xml"/><Relationship Id="rId50" Type="http://schemas.openxmlformats.org/officeDocument/2006/relationships/endnotes" Target="endnotes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