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supply register</w:t>
      </w:r>
    </w:p>
    <w:p>
      <w:r>
        <w:t xml:space="preserve">A fictional supply register with a styled heading row and alternating row fills.</w:t>
      </w:r>
    </w:p>
    <w:tbl>
      <w:tblPr>
        <w:tblStyle w:val="WorkshopBands"/>
        <w:tblW w:w="9360" w:type="dxa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Material</w:t>
            </w:r>
          </w:p>
        </w:tc>
        <w:tc>
          <w:tcPr>
            <w:tcW w:w="4680" w:type="dxa"/>
          </w:tcPr>
          <w:p>
            <w:r>
              <w:t xml:space="preserve">Storage area</w:t>
            </w:r>
          </w:p>
        </w:tc>
      </w:tr>
      <w:tr>
        <w:tc>
          <w:tcPr>
            <w:tcW w:w="4680" w:type="dxa"/>
          </w:tcPr>
          <w:p>
            <w:r>
              <w:t xml:space="preserve">Display panels</w:t>
            </w:r>
          </w:p>
        </w:tc>
        <w:tc>
          <w:tcPr>
            <w:tcW w:w="4680" w:type="dxa"/>
          </w:tcPr>
          <w:p>
            <w:r>
              <w:t xml:space="preserve">Shelf A</w:t>
            </w:r>
          </w:p>
        </w:tc>
      </w:tr>
      <w:tr>
        <w:tc>
          <w:tcPr>
            <w:tcW w:w="4680" w:type="dxa"/>
          </w:tcPr>
          <w:p>
            <w:r>
              <w:t xml:space="preserve">Connectors</w:t>
            </w:r>
          </w:p>
        </w:tc>
        <w:tc>
          <w:tcPr>
            <w:tcW w:w="4680" w:type="dxa"/>
          </w:tcPr>
          <w:p>
            <w:r>
              <w:t xml:space="preserve">Bin B</w:t>
            </w:r>
          </w:p>
        </w:tc>
      </w:tr>
      <w:tr>
        <w:tc>
          <w:tcPr>
            <w:tcW w:w="4680" w:type="dxa"/>
          </w:tcPr>
          <w:p>
            <w:r>
              <w:t xml:space="preserve">Reusable labels</w:t>
            </w:r>
          </w:p>
        </w:tc>
        <w:tc>
          <w:tcPr>
            <w:tcW w:w="4680" w:type="dxa"/>
          </w:tcPr>
          <w:p>
            <w:r>
              <w:t xml:space="preserve">Drawer C</w:t>
            </w:r>
          </w:p>
        </w:tc>
      </w:tr>
      <w:tr>
        <w:tc>
          <w:tcPr>
            <w:tcW w:w="4680" w:type="dxa"/>
          </w:tcPr>
          <w:p>
            <w:r>
              <w:t xml:space="preserve">Frames</w:t>
            </w:r>
          </w:p>
        </w:tc>
        <w:tc>
          <w:tcPr>
            <w:tcW w:w="4680" w:type="dxa"/>
          </w:tcPr>
          <w:p>
            <w:r>
              <w:t xml:space="preserve">Rack D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  <w:style w:type="table" w:styleId="WorkshopBands">
    <w:name w:val="Workshop Bands"/>
    <w:tblPr>
      <w:tblStyleRowBandSize w:val="1"/>
    </w:tblPr>
    <w:tblStylePr w:type="firstRow">
      <w:rPr>
        <w:b/>
      </w:rPr>
      <w:tcPr>
        <w:shd w:val="clear" w:fill="DCE8E4"/>
      </w:tcPr>
    </w:tblStylePr>
    <w:tblStylePr w:type="band1Horz">
      <w:tcPr>
        <w:shd w:val="clear" w:fill="F0F3F2"/>
      </w:tcPr>
    </w:tblStyle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