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EC7E2100" w14:textId="4780C300">
      <w:pPr>
        <w:pStyle w:val="Heading1"/>
      </w:pPr>
      <w:bookmarkStart w:id="900033" w:name="_Toc1798998492"/>
      <w:bookmarkStart w:name="section8" w:id="17"/>
      <w:r>
        <w:t xml:space="preserve">8. Footnotes &amp; Endnotes</w:t>
      </w:r>
      <w:bookmarkEnd w:id="17"/>
      <w:bookmarkEnd w:id="900033"/>
    </w:p>
    <w:p w14:paraId="A8CD5400" w14:textId="60D38700">
      <w:pPr>
        <w:pStyle w:val="Heading2"/>
      </w:pPr>
      <w:bookmarkStart w:id="900034" w:name="_Toc44621738"/>
      <w:r>
        <w:t xml:space="preserve">8.1 Footnotes</w:t>
      </w:r>
      <w:bookmarkEnd w:id="900034"/>
    </w:p>
    <w:p w14:paraId="8E5DB600" w14:textId="78595800">
      <w:pPr>
        <w:spacing w:after="120"/>
      </w:pPr>
      <w:r>
        <w:t xml:space="preserve">Standard footnote</w:t>
      </w:r>
      <w:r>
        <w:rPr>
          <w:rStyle w:val="FootnoteReference"/>
        </w:rPr>
        <w:footnoteReference w:id="1"/>
      </w:r>
      <w:r>
        <w:t xml:space="preserve">, formatted footnote</w:t>
      </w:r>
      <w:r>
        <w:rPr>
          <w:rStyle w:val="FootnoteReference"/>
        </w:rPr>
        <w:footnoteReference w:id="2"/>
      </w:r>
      <w:r>
        <w:t xml:space="preserve">, and third</w:t>
      </w:r>
      <w:r>
        <w:rPr>
          <w:rStyle w:val="FootnoteReference"/>
        </w:rPr>
        <w:footnoteReference w:id="3"/>
      </w:r>
      <w:r>
        <w:t xml:space="preserve">.</w:t>
      </w:r>
    </w:p>
    <w:p w14:paraId="F4DAC200" w14:textId="DF7E0580">
      <w:pPr>
        <w:pStyle w:val="Heading2"/>
      </w:pPr>
      <w:bookmarkStart w:id="900035" w:name="_Toc1430510899"/>
      <w:r>
        <w:t xml:space="preserve">8.2 Endnotes (Injected via XML)</w:t>
      </w:r>
      <w:bookmarkEnd w:id="900035"/>
    </w:p>
    <w:p w14:paraId="76B43600" w14:textId="E68A0A00">
      <w:pPr>
        <w:spacing w:after="120"/>
      </w:pPr>
      <w:r>
        <w:t xml:space="preserve">First endnote reference</w:t>
      </w:r>
      <w:r>
        <w:rPr>
          <w:rStyle w:val="EndnoteReference"/>
        </w:rPr>
        <w:endnoteReference w:id="1"/>
      </w:r>
      <w:r>
        <w:t xml:space="preserve"> and second endnote</w:t>
      </w:r>
      <w:r>
        <w:rPr>
          <w:rStyle w:val="EndnoteReference"/>
        </w:rPr>
        <w:endnoteReference w:id="2"/>
      </w:r>
      <w:r>
        <w:t>. Endnotes appear at the end of the document.</w:t>
      </w:r>
    </w:p>
    <w:p w14:paraId="4014E800" w14:textId="A27EE600">
      <w:pPr>
        <w:spacing w:after="120"/>
      </w:pPr>
      <w:r>
        <w:rPr>
          <w:color w:val="FFFFFF"/>
          <w:sz w:val="2"/>
          <w:szCs w:val="2"/>
        </w:rPr>
        <w:t xml:space="preserve">ENDNOTE_INJECTION_MARKER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id="1">
    <w:p>
      <w:pPr>
        <w:pStyle w:val="EndnoteText"/>
      </w:pPr>
      <w:r>
        <w:rPr>
          <w:rStyle w:val="EndnoteReference"/>
        </w:rPr>
        <w:endnoteRef/>
      </w:r>
      <w:r>
        <w:t xml:space="preserve"> Endnote 1: This reference appears at the end of the document section. Source: Annual Report 2025.</w:t>
      </w:r>
    </w:p>
  </w:endnote>
  <w:endnote w:id="2">
    <w:p>
      <w:pPr>
        <w:pStyle w:val="EndnoteText"/>
      </w:pPr>
      <w:r>
        <w:rPr>
          <w:rStyle w:val="EndnoteReference"/>
        </w:rPr>
        <w:endnoteRef/>
      </w:r>
      <w:r>
        <w:t xml:space="preserve"> Endnote 2: Additional bibliography reference – Example reference, 2025.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Standard footnote. Source: Annual Report 2025.</w:t>
      </w:r>
    </w:p>
  </w:footnote>
  <w:footnote w:id="2">
    <w:p>
      <w:r>
        <w:rPr>
          <w:rStyle w:val="FootnoteReference"/>
        </w:rPr>
        <w:footnoteRef/>
      </w:r>
      <w:r>
        <w:t xml:space="preserve">Footnote with </w:t>
      </w:r>
      <w:r>
        <w:rPr>
          <w:b/>
          <w:bCs/>
        </w:rPr>
        <w:t xml:space="preserve">bold</w:t>
      </w:r>
      <w:r>
        <w:t xml:space="preserve"> and </w:t>
      </w:r>
      <w:r>
        <w:rPr>
          <w:i/>
          <w:iCs/>
        </w:rPr>
        <w:t xml:space="preserve">italic</w:t>
      </w:r>
      <w:r>
        <w:t xml:space="preserve"> formatting.</w:t>
      </w:r>
    </w:p>
  </w:footnote>
  <w:footnote w:id="3">
    <w:p>
      <w:r>
        <w:rPr>
          <w:rStyle w:val="FootnoteReference"/>
        </w:rPr>
        <w:footnoteRef/>
      </w:r>
      <w:r>
        <w:t xml:space="preserve">Third footnote demonstrating sequential numbering across sections.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