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57C1EC00" w14:textId="11D73D00">
      <w:pPr>
        <w:pStyle w:val="Heading2"/>
      </w:pPr>
      <w:bookmarkStart w:id="900042" w:name="_Toc838305422"/>
      <w:r>
        <w:t xml:space="preserve">10.3 Floating Image (Text Wrap)</w:t>
      </w:r>
      <w:bookmarkEnd w:id="900042"/>
    </w:p>
    <w:p w14:paraId="9DAEAA00" w14:textId="34DBF400">
      <w:pPr>
        <w:spacing w:after="120"/>
      </w:pPr>
      <w:r>
        <w:drawing>
          <wp:anchor distT="0" distB="0" distL="114300" distR="0" simplePos="0" allowOverlap="1" behindDoc="0" locked="0" layoutInCell="1" relativeHeight="95250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52500" cy="952500"/>
            <wp:effectExtent t="0" r="0" b="0" l="0"/>
            <wp:wrapSquare wrapText="bothSides" distT="0" distB="0" distL="114300" distR="0"/>
            <wp:docPr id="7" name="float" descr="Floating image" title="Flo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t xml:space="preserve">This text wraps around a floating image positioned at the right margin. The image uses square text wrapping, which forces the text to flow around its bounding box. This is commonly used for pull-out images, sidebars, and figure placement in professional documents. The wrapping behavior is a key automation test case.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